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12" w:type="dxa"/>
        <w:tblLook w:val="04A0" w:firstRow="1" w:lastRow="0" w:firstColumn="1" w:lastColumn="0" w:noHBand="0" w:noVBand="1"/>
      </w:tblPr>
      <w:tblGrid>
        <w:gridCol w:w="2521"/>
        <w:gridCol w:w="3255"/>
        <w:gridCol w:w="6491"/>
        <w:gridCol w:w="2045"/>
      </w:tblGrid>
      <w:tr w:rsidR="00377176" w:rsidTr="00377176">
        <w:tc>
          <w:tcPr>
            <w:tcW w:w="2521" w:type="dxa"/>
          </w:tcPr>
          <w:p w:rsidR="00377176" w:rsidRPr="009B5A95" w:rsidRDefault="00377176" w:rsidP="007551DE">
            <w:pPr>
              <w:rPr>
                <w:b/>
              </w:rPr>
            </w:pPr>
            <w:r w:rsidRPr="009B5A95">
              <w:rPr>
                <w:b/>
              </w:rPr>
              <w:t>Community Infrastructure</w:t>
            </w:r>
          </w:p>
        </w:tc>
        <w:tc>
          <w:tcPr>
            <w:tcW w:w="3255" w:type="dxa"/>
          </w:tcPr>
          <w:p w:rsidR="00377176" w:rsidRPr="009B5A95" w:rsidRDefault="00377176" w:rsidP="007551DE">
            <w:pPr>
              <w:rPr>
                <w:b/>
              </w:rPr>
            </w:pPr>
            <w:r w:rsidRPr="009B5A95">
              <w:rPr>
                <w:b/>
              </w:rPr>
              <w:t>Essential Works List</w:t>
            </w:r>
          </w:p>
        </w:tc>
        <w:tc>
          <w:tcPr>
            <w:tcW w:w="6491" w:type="dxa"/>
          </w:tcPr>
          <w:p w:rsidR="00377176" w:rsidRDefault="00377176" w:rsidP="007551DE">
            <w:pPr>
              <w:rPr>
                <w:b/>
              </w:rPr>
            </w:pPr>
            <w:r>
              <w:rPr>
                <w:b/>
              </w:rPr>
              <w:t>Reference</w:t>
            </w:r>
          </w:p>
          <w:p w:rsidR="00377176" w:rsidRPr="00856FF1" w:rsidRDefault="00377176" w:rsidP="007551DE">
            <w:pPr>
              <w:rPr>
                <w:b/>
                <w:i/>
              </w:rPr>
            </w:pPr>
            <w:r w:rsidRPr="00856FF1">
              <w:rPr>
                <w:i/>
              </w:rPr>
              <w:t>Draft Plannin</w:t>
            </w:r>
            <w:r>
              <w:rPr>
                <w:i/>
              </w:rPr>
              <w:t>g</w:t>
            </w:r>
            <w:r w:rsidRPr="00856FF1">
              <w:rPr>
                <w:i/>
              </w:rPr>
              <w:t xml:space="preserve"> Strategy Kensington and Kingsford Town Centres Public Consultation Jan 2017</w:t>
            </w:r>
          </w:p>
        </w:tc>
        <w:tc>
          <w:tcPr>
            <w:tcW w:w="2045" w:type="dxa"/>
          </w:tcPr>
          <w:p w:rsidR="00377176" w:rsidRDefault="00377176" w:rsidP="007551DE">
            <w:pPr>
              <w:rPr>
                <w:b/>
              </w:rPr>
            </w:pPr>
            <w:r>
              <w:rPr>
                <w:b/>
              </w:rPr>
              <w:t>Costs</w:t>
            </w:r>
          </w:p>
        </w:tc>
      </w:tr>
      <w:tr w:rsidR="00377176" w:rsidTr="00377176">
        <w:tc>
          <w:tcPr>
            <w:tcW w:w="2521" w:type="dxa"/>
          </w:tcPr>
          <w:p w:rsidR="00377176" w:rsidRPr="00106235" w:rsidRDefault="00377176" w:rsidP="007551DE">
            <w:pPr>
              <w:rPr>
                <w:b/>
              </w:rPr>
            </w:pPr>
            <w:r w:rsidRPr="00106235">
              <w:rPr>
                <w:b/>
              </w:rPr>
              <w:t>KENSINGTON</w:t>
            </w:r>
          </w:p>
        </w:tc>
        <w:tc>
          <w:tcPr>
            <w:tcW w:w="3255" w:type="dxa"/>
          </w:tcPr>
          <w:p w:rsidR="00377176" w:rsidRDefault="00377176" w:rsidP="007551DE"/>
        </w:tc>
        <w:tc>
          <w:tcPr>
            <w:tcW w:w="6491" w:type="dxa"/>
          </w:tcPr>
          <w:p w:rsidR="00377176" w:rsidRDefault="00377176" w:rsidP="007551DE"/>
        </w:tc>
        <w:tc>
          <w:tcPr>
            <w:tcW w:w="2045" w:type="dxa"/>
          </w:tcPr>
          <w:p w:rsidR="00377176" w:rsidRDefault="00377176" w:rsidP="007551DE"/>
        </w:tc>
      </w:tr>
      <w:tr w:rsidR="00377176" w:rsidTr="00377176">
        <w:tc>
          <w:tcPr>
            <w:tcW w:w="2521" w:type="dxa"/>
          </w:tcPr>
          <w:p w:rsidR="00377176" w:rsidRDefault="00377176" w:rsidP="007551DE">
            <w:r>
              <w:t>Public art/Sculpture</w:t>
            </w:r>
          </w:p>
        </w:tc>
        <w:tc>
          <w:tcPr>
            <w:tcW w:w="3255" w:type="dxa"/>
          </w:tcPr>
          <w:p w:rsidR="00377176" w:rsidRDefault="00377176" w:rsidP="007551DE">
            <w:r>
              <w:t>No</w:t>
            </w:r>
          </w:p>
        </w:tc>
        <w:tc>
          <w:tcPr>
            <w:tcW w:w="6491" w:type="dxa"/>
          </w:tcPr>
          <w:p w:rsidR="00377176" w:rsidRDefault="00377176" w:rsidP="007551DE">
            <w:r>
              <w:t xml:space="preserve">Facilitate public art and artistic expression in the public domain to enhance visual amenity, contribute to cultural identity and foster a sense of community in a range of locations in Kingsford and Kensington town centres </w:t>
            </w:r>
          </w:p>
          <w:p w:rsidR="00377176" w:rsidRDefault="00377176" w:rsidP="007551DE"/>
        </w:tc>
        <w:tc>
          <w:tcPr>
            <w:tcW w:w="2045" w:type="dxa"/>
          </w:tcPr>
          <w:p w:rsidR="00377176" w:rsidRDefault="00377176" w:rsidP="007551DE">
            <w:r>
              <w:t>$1,100,000</w:t>
            </w:r>
          </w:p>
        </w:tc>
      </w:tr>
      <w:tr w:rsidR="00377176" w:rsidTr="00377176">
        <w:tc>
          <w:tcPr>
            <w:tcW w:w="2521" w:type="dxa"/>
          </w:tcPr>
          <w:p w:rsidR="00377176" w:rsidRDefault="00377176" w:rsidP="007551DE">
            <w:r>
              <w:t>Bicycle networks</w:t>
            </w:r>
          </w:p>
        </w:tc>
        <w:tc>
          <w:tcPr>
            <w:tcW w:w="3255" w:type="dxa"/>
          </w:tcPr>
          <w:p w:rsidR="00377176" w:rsidRDefault="00377176" w:rsidP="007551DE">
            <w:r>
              <w:t>Yes – Land and facilities for transport</w:t>
            </w:r>
          </w:p>
        </w:tc>
        <w:tc>
          <w:tcPr>
            <w:tcW w:w="6491" w:type="dxa"/>
          </w:tcPr>
          <w:p w:rsidR="00377176" w:rsidRDefault="00377176" w:rsidP="00377176">
            <w:pPr>
              <w:pStyle w:val="ListParagraph"/>
              <w:numPr>
                <w:ilvl w:val="0"/>
                <w:numId w:val="1"/>
              </w:numPr>
              <w:spacing w:line="240" w:lineRule="auto"/>
            </w:pPr>
            <w:r>
              <w:t>Progress councils cycle ways plan</w:t>
            </w:r>
          </w:p>
          <w:p w:rsidR="00377176" w:rsidRDefault="00377176" w:rsidP="00377176">
            <w:pPr>
              <w:pStyle w:val="ListParagraph"/>
              <w:numPr>
                <w:ilvl w:val="0"/>
                <w:numId w:val="1"/>
              </w:numPr>
              <w:spacing w:line="240" w:lineRule="auto"/>
            </w:pPr>
            <w:r>
              <w:t xml:space="preserve">Investigate a new off-road cycleway through the Randwick Racecourse (competition winner) </w:t>
            </w:r>
          </w:p>
          <w:p w:rsidR="00377176" w:rsidRDefault="00377176" w:rsidP="007551DE"/>
        </w:tc>
        <w:tc>
          <w:tcPr>
            <w:tcW w:w="2045" w:type="dxa"/>
          </w:tcPr>
          <w:p w:rsidR="00377176" w:rsidRDefault="00377176" w:rsidP="007551DE">
            <w:r>
              <w:t>$1,000,000</w:t>
            </w:r>
          </w:p>
        </w:tc>
      </w:tr>
      <w:tr w:rsidR="00377176" w:rsidTr="00377176">
        <w:tc>
          <w:tcPr>
            <w:tcW w:w="2521" w:type="dxa"/>
          </w:tcPr>
          <w:p w:rsidR="00377176" w:rsidRDefault="00377176" w:rsidP="007551DE">
            <w:r>
              <w:t>Cycle Sharing facility</w:t>
            </w:r>
          </w:p>
        </w:tc>
        <w:tc>
          <w:tcPr>
            <w:tcW w:w="3255" w:type="dxa"/>
          </w:tcPr>
          <w:p w:rsidR="00377176" w:rsidRDefault="00377176" w:rsidP="007551DE">
            <w:r>
              <w:t>Yes – Land and facilities for transport</w:t>
            </w:r>
          </w:p>
        </w:tc>
        <w:tc>
          <w:tcPr>
            <w:tcW w:w="6491" w:type="dxa"/>
          </w:tcPr>
          <w:p w:rsidR="00377176" w:rsidRDefault="00377176" w:rsidP="007551DE">
            <w:r>
              <w:t xml:space="preserve">Feasibility study being undertaken between City of Sydney, Inner West Council and Randwick City Council – feasibility study expected to be completed by the end of 2016. Funding will be allocated to bike share hubs within Kensington and Kingsford town centres to provide for bike share scheme (Draft Planning Strategy Kensington and Kingsford Town Centres Public Consultation Jan 2017) </w:t>
            </w:r>
          </w:p>
          <w:p w:rsidR="00377176" w:rsidRDefault="00377176" w:rsidP="007551DE"/>
          <w:p w:rsidR="00377176" w:rsidRDefault="00377176" w:rsidP="007551DE">
            <w:r>
              <w:t>Allocate funding to provide for bicycle share hubs within the town centres</w:t>
            </w:r>
          </w:p>
          <w:p w:rsidR="00377176" w:rsidRDefault="00377176" w:rsidP="007551DE"/>
        </w:tc>
        <w:tc>
          <w:tcPr>
            <w:tcW w:w="2045" w:type="dxa"/>
          </w:tcPr>
          <w:p w:rsidR="00377176" w:rsidRDefault="00377176" w:rsidP="007551DE">
            <w:r>
              <w:t>$300,000</w:t>
            </w:r>
          </w:p>
        </w:tc>
      </w:tr>
      <w:tr w:rsidR="00377176" w:rsidTr="00377176">
        <w:tc>
          <w:tcPr>
            <w:tcW w:w="2521" w:type="dxa"/>
          </w:tcPr>
          <w:p w:rsidR="00377176" w:rsidRDefault="00377176" w:rsidP="007551DE">
            <w:proofErr w:type="spellStart"/>
            <w:r>
              <w:t>Todman</w:t>
            </w:r>
            <w:proofErr w:type="spellEnd"/>
            <w:r>
              <w:t xml:space="preserve"> Ave Cycle Way</w:t>
            </w:r>
          </w:p>
        </w:tc>
        <w:tc>
          <w:tcPr>
            <w:tcW w:w="3255" w:type="dxa"/>
          </w:tcPr>
          <w:p w:rsidR="00377176" w:rsidRDefault="00377176" w:rsidP="007551DE">
            <w:r>
              <w:t>Yes – Land and facilities for transport</w:t>
            </w:r>
          </w:p>
        </w:tc>
        <w:tc>
          <w:tcPr>
            <w:tcW w:w="6491" w:type="dxa"/>
          </w:tcPr>
          <w:p w:rsidR="00377176" w:rsidRDefault="00377176" w:rsidP="007551DE">
            <w:r>
              <w:t>No details</w:t>
            </w:r>
          </w:p>
          <w:p w:rsidR="00377176" w:rsidRDefault="00377176" w:rsidP="007551DE"/>
        </w:tc>
        <w:tc>
          <w:tcPr>
            <w:tcW w:w="2045" w:type="dxa"/>
          </w:tcPr>
          <w:p w:rsidR="00377176" w:rsidRDefault="00377176" w:rsidP="007551DE">
            <w:r>
              <w:t>$3,000,000</w:t>
            </w:r>
          </w:p>
        </w:tc>
      </w:tr>
      <w:tr w:rsidR="00377176" w:rsidTr="00377176">
        <w:tc>
          <w:tcPr>
            <w:tcW w:w="2521" w:type="dxa"/>
          </w:tcPr>
          <w:p w:rsidR="00377176" w:rsidRDefault="00377176" w:rsidP="007551DE">
            <w:r>
              <w:t>Green Links</w:t>
            </w:r>
          </w:p>
        </w:tc>
        <w:tc>
          <w:tcPr>
            <w:tcW w:w="3255" w:type="dxa"/>
          </w:tcPr>
          <w:p w:rsidR="00377176" w:rsidRDefault="00377176" w:rsidP="007551DE">
            <w:r>
              <w:t>Possibly – Open Space</w:t>
            </w:r>
          </w:p>
        </w:tc>
        <w:tc>
          <w:tcPr>
            <w:tcW w:w="6491" w:type="dxa"/>
          </w:tcPr>
          <w:p w:rsidR="00377176" w:rsidRDefault="00377176" w:rsidP="007551DE">
            <w:r>
              <w:t xml:space="preserve">Aim to increase the amount of open space within and around the town centres, and establish a green open space network by linking the town centres to public open space assets in surrounding residential areas. </w:t>
            </w:r>
          </w:p>
        </w:tc>
        <w:tc>
          <w:tcPr>
            <w:tcW w:w="2045" w:type="dxa"/>
          </w:tcPr>
          <w:p w:rsidR="00377176" w:rsidRDefault="00377176" w:rsidP="007551DE">
            <w:r>
              <w:t>$1,500,000</w:t>
            </w:r>
          </w:p>
        </w:tc>
      </w:tr>
      <w:tr w:rsidR="00377176" w:rsidTr="00377176">
        <w:tc>
          <w:tcPr>
            <w:tcW w:w="2521" w:type="dxa"/>
          </w:tcPr>
          <w:p w:rsidR="00377176" w:rsidRDefault="00377176" w:rsidP="007551DE">
            <w:r>
              <w:t>Multi-purpose community centre and exhibition centre</w:t>
            </w:r>
          </w:p>
        </w:tc>
        <w:tc>
          <w:tcPr>
            <w:tcW w:w="3255" w:type="dxa"/>
          </w:tcPr>
          <w:p w:rsidR="00377176" w:rsidRDefault="00377176" w:rsidP="007551DE">
            <w:r>
              <w:t>Possibly – Community Services</w:t>
            </w:r>
          </w:p>
        </w:tc>
        <w:tc>
          <w:tcPr>
            <w:tcW w:w="6491" w:type="dxa"/>
          </w:tcPr>
          <w:p w:rsidR="00377176" w:rsidRDefault="00377176" w:rsidP="007551DE">
            <w:r>
              <w:t>No specific details</w:t>
            </w:r>
          </w:p>
        </w:tc>
        <w:tc>
          <w:tcPr>
            <w:tcW w:w="2045" w:type="dxa"/>
          </w:tcPr>
          <w:p w:rsidR="00377176" w:rsidRDefault="00377176" w:rsidP="007551DE">
            <w:r>
              <w:t>$1,600,000</w:t>
            </w:r>
          </w:p>
        </w:tc>
      </w:tr>
      <w:tr w:rsidR="00377176" w:rsidTr="00377176">
        <w:tc>
          <w:tcPr>
            <w:tcW w:w="2521" w:type="dxa"/>
          </w:tcPr>
          <w:p w:rsidR="00377176" w:rsidRDefault="00377176" w:rsidP="007551DE">
            <w:r>
              <w:lastRenderedPageBreak/>
              <w:t>Innovation Centre</w:t>
            </w:r>
          </w:p>
        </w:tc>
        <w:tc>
          <w:tcPr>
            <w:tcW w:w="3255" w:type="dxa"/>
          </w:tcPr>
          <w:p w:rsidR="00377176" w:rsidRDefault="00377176" w:rsidP="007551DE">
            <w:r>
              <w:t>No</w:t>
            </w:r>
          </w:p>
        </w:tc>
        <w:tc>
          <w:tcPr>
            <w:tcW w:w="6491" w:type="dxa"/>
          </w:tcPr>
          <w:p w:rsidR="00377176" w:rsidRDefault="00377176" w:rsidP="007551DE">
            <w:r>
              <w:t>Use a community infrastructure contributions scheme to obtain Council-owned innovation spaces (such as co-working facilities and affordable office spaces)</w:t>
            </w:r>
          </w:p>
        </w:tc>
        <w:tc>
          <w:tcPr>
            <w:tcW w:w="2045" w:type="dxa"/>
          </w:tcPr>
          <w:p w:rsidR="00377176" w:rsidRDefault="00377176" w:rsidP="007551DE">
            <w:r>
              <w:t>$3,000,000</w:t>
            </w:r>
          </w:p>
        </w:tc>
      </w:tr>
      <w:tr w:rsidR="00377176" w:rsidTr="00377176">
        <w:tc>
          <w:tcPr>
            <w:tcW w:w="2521" w:type="dxa"/>
          </w:tcPr>
          <w:p w:rsidR="00377176" w:rsidRDefault="00377176" w:rsidP="007551DE">
            <w:r>
              <w:t>Upgrades including water sensitive Urban Design</w:t>
            </w:r>
          </w:p>
        </w:tc>
        <w:tc>
          <w:tcPr>
            <w:tcW w:w="3255" w:type="dxa"/>
          </w:tcPr>
          <w:p w:rsidR="00377176" w:rsidRDefault="00377176" w:rsidP="007551DE">
            <w:r>
              <w:t>No</w:t>
            </w:r>
          </w:p>
        </w:tc>
        <w:tc>
          <w:tcPr>
            <w:tcW w:w="6491" w:type="dxa"/>
          </w:tcPr>
          <w:p w:rsidR="00377176" w:rsidRDefault="00377176" w:rsidP="007551DE">
            <w:r>
              <w:t xml:space="preserve">Prepare a strategy for water sensitive urban design throughout the town centres in conjunction with a landscape concept plan Short </w:t>
            </w:r>
            <w:proofErr w:type="gramStart"/>
            <w:r>
              <w:t>term</w:t>
            </w:r>
            <w:proofErr w:type="gramEnd"/>
            <w:r>
              <w:t xml:space="preserve"> Council </w:t>
            </w:r>
          </w:p>
          <w:p w:rsidR="00377176" w:rsidRDefault="00377176" w:rsidP="007551DE">
            <w:r>
              <w:t>Implement two pilot water sensitive urban design projects in the town centres</w:t>
            </w:r>
          </w:p>
        </w:tc>
        <w:tc>
          <w:tcPr>
            <w:tcW w:w="2045" w:type="dxa"/>
          </w:tcPr>
          <w:p w:rsidR="00377176" w:rsidRDefault="00377176" w:rsidP="007551DE">
            <w:r>
              <w:t>$3,000,000</w:t>
            </w:r>
          </w:p>
        </w:tc>
      </w:tr>
      <w:tr w:rsidR="00377176" w:rsidTr="00377176">
        <w:tc>
          <w:tcPr>
            <w:tcW w:w="2521" w:type="dxa"/>
          </w:tcPr>
          <w:p w:rsidR="00377176" w:rsidRDefault="00377176" w:rsidP="007551DE">
            <w:r>
              <w:t>Pneumatic Waste Collection</w:t>
            </w:r>
          </w:p>
        </w:tc>
        <w:tc>
          <w:tcPr>
            <w:tcW w:w="3255" w:type="dxa"/>
          </w:tcPr>
          <w:p w:rsidR="00377176" w:rsidRDefault="00377176" w:rsidP="007551DE">
            <w:r>
              <w:t>No</w:t>
            </w:r>
          </w:p>
        </w:tc>
        <w:tc>
          <w:tcPr>
            <w:tcW w:w="6491" w:type="dxa"/>
          </w:tcPr>
          <w:p w:rsidR="00377176" w:rsidRDefault="00377176" w:rsidP="007551DE">
            <w:r>
              <w:t>Undertake a concept design and feasibility study for an automated underground waste collection system within the town centres</w:t>
            </w:r>
          </w:p>
        </w:tc>
        <w:tc>
          <w:tcPr>
            <w:tcW w:w="2045" w:type="dxa"/>
          </w:tcPr>
          <w:p w:rsidR="00377176" w:rsidRDefault="00377176" w:rsidP="007551DE">
            <w:r>
              <w:t>$6,400,000</w:t>
            </w:r>
          </w:p>
        </w:tc>
      </w:tr>
      <w:tr w:rsidR="00377176" w:rsidRPr="0067509F" w:rsidTr="00377176">
        <w:tc>
          <w:tcPr>
            <w:tcW w:w="2521" w:type="dxa"/>
          </w:tcPr>
          <w:p w:rsidR="00377176" w:rsidRDefault="00377176" w:rsidP="007551DE"/>
        </w:tc>
        <w:tc>
          <w:tcPr>
            <w:tcW w:w="3255" w:type="dxa"/>
          </w:tcPr>
          <w:p w:rsidR="00377176" w:rsidRDefault="00377176" w:rsidP="007551DE"/>
        </w:tc>
        <w:tc>
          <w:tcPr>
            <w:tcW w:w="6491" w:type="dxa"/>
          </w:tcPr>
          <w:p w:rsidR="00377176" w:rsidRDefault="00377176" w:rsidP="007551DE"/>
        </w:tc>
        <w:tc>
          <w:tcPr>
            <w:tcW w:w="2045" w:type="dxa"/>
          </w:tcPr>
          <w:p w:rsidR="00377176" w:rsidRPr="0067509F" w:rsidRDefault="00377176" w:rsidP="007551DE">
            <w:pPr>
              <w:rPr>
                <w:b/>
              </w:rPr>
            </w:pPr>
            <w:r w:rsidRPr="0067509F">
              <w:rPr>
                <w:b/>
              </w:rPr>
              <w:t>$20,900,000</w:t>
            </w:r>
          </w:p>
        </w:tc>
      </w:tr>
      <w:tr w:rsidR="00377176" w:rsidTr="00377176">
        <w:tc>
          <w:tcPr>
            <w:tcW w:w="2521" w:type="dxa"/>
          </w:tcPr>
          <w:p w:rsidR="00377176" w:rsidRPr="00106235" w:rsidRDefault="00377176" w:rsidP="007551DE">
            <w:pPr>
              <w:rPr>
                <w:b/>
              </w:rPr>
            </w:pPr>
            <w:r w:rsidRPr="00106235">
              <w:rPr>
                <w:b/>
              </w:rPr>
              <w:t>KINGSFORD</w:t>
            </w:r>
          </w:p>
        </w:tc>
        <w:tc>
          <w:tcPr>
            <w:tcW w:w="3255" w:type="dxa"/>
          </w:tcPr>
          <w:p w:rsidR="00377176" w:rsidRDefault="00377176" w:rsidP="007551DE"/>
        </w:tc>
        <w:tc>
          <w:tcPr>
            <w:tcW w:w="6491" w:type="dxa"/>
          </w:tcPr>
          <w:p w:rsidR="00377176" w:rsidRDefault="00377176" w:rsidP="007551DE"/>
        </w:tc>
        <w:tc>
          <w:tcPr>
            <w:tcW w:w="2045" w:type="dxa"/>
          </w:tcPr>
          <w:p w:rsidR="00377176" w:rsidRDefault="00377176" w:rsidP="007551DE"/>
        </w:tc>
      </w:tr>
      <w:tr w:rsidR="00377176" w:rsidTr="00377176">
        <w:tc>
          <w:tcPr>
            <w:tcW w:w="2521" w:type="dxa"/>
          </w:tcPr>
          <w:p w:rsidR="00377176" w:rsidRDefault="00377176" w:rsidP="007551DE">
            <w:r>
              <w:t>Public art/sculpture</w:t>
            </w:r>
          </w:p>
        </w:tc>
        <w:tc>
          <w:tcPr>
            <w:tcW w:w="3255" w:type="dxa"/>
          </w:tcPr>
          <w:p w:rsidR="00377176" w:rsidRDefault="00377176" w:rsidP="007551DE">
            <w:r>
              <w:t>No</w:t>
            </w:r>
          </w:p>
        </w:tc>
        <w:tc>
          <w:tcPr>
            <w:tcW w:w="6491" w:type="dxa"/>
          </w:tcPr>
          <w:p w:rsidR="00377176" w:rsidRDefault="00377176" w:rsidP="007551DE">
            <w:r>
              <w:t xml:space="preserve">Facilitate public art and artistic expression in the public domain to enhance visual amenity, contribute to cultural identity and foster a sense of community in a range of locations in Kingsford and Kensington town centres </w:t>
            </w:r>
          </w:p>
          <w:p w:rsidR="00377176" w:rsidRDefault="00377176" w:rsidP="007551DE"/>
        </w:tc>
        <w:tc>
          <w:tcPr>
            <w:tcW w:w="2045" w:type="dxa"/>
          </w:tcPr>
          <w:p w:rsidR="00377176" w:rsidRDefault="00377176" w:rsidP="007551DE">
            <w:r>
              <w:t>$1,000,000</w:t>
            </w:r>
          </w:p>
        </w:tc>
      </w:tr>
      <w:tr w:rsidR="00377176" w:rsidTr="00377176">
        <w:tc>
          <w:tcPr>
            <w:tcW w:w="2521" w:type="dxa"/>
          </w:tcPr>
          <w:p w:rsidR="00377176" w:rsidRDefault="00377176" w:rsidP="007551DE">
            <w:r>
              <w:t>Community facility</w:t>
            </w:r>
          </w:p>
        </w:tc>
        <w:tc>
          <w:tcPr>
            <w:tcW w:w="3255" w:type="dxa"/>
          </w:tcPr>
          <w:p w:rsidR="00377176" w:rsidRDefault="00377176" w:rsidP="007551DE">
            <w:r>
              <w:t>Possibly – Community Services</w:t>
            </w:r>
          </w:p>
        </w:tc>
        <w:tc>
          <w:tcPr>
            <w:tcW w:w="6491" w:type="dxa"/>
          </w:tcPr>
          <w:p w:rsidR="00377176" w:rsidRDefault="00377176" w:rsidP="007551DE">
            <w:r>
              <w:t xml:space="preserve">No specific details </w:t>
            </w:r>
          </w:p>
        </w:tc>
        <w:tc>
          <w:tcPr>
            <w:tcW w:w="2045" w:type="dxa"/>
          </w:tcPr>
          <w:p w:rsidR="00377176" w:rsidRDefault="00377176" w:rsidP="007551DE">
            <w:r>
              <w:t>$1,200,000</w:t>
            </w:r>
          </w:p>
        </w:tc>
      </w:tr>
      <w:tr w:rsidR="00377176" w:rsidTr="00377176">
        <w:tc>
          <w:tcPr>
            <w:tcW w:w="2521" w:type="dxa"/>
          </w:tcPr>
          <w:p w:rsidR="00377176" w:rsidRDefault="00377176" w:rsidP="007551DE">
            <w:r>
              <w:t>Kensington Park</w:t>
            </w:r>
          </w:p>
        </w:tc>
        <w:tc>
          <w:tcPr>
            <w:tcW w:w="3255" w:type="dxa"/>
          </w:tcPr>
          <w:p w:rsidR="00377176" w:rsidRDefault="00377176" w:rsidP="007551DE">
            <w:r>
              <w:t xml:space="preserve">Possibly – land for open space </w:t>
            </w:r>
          </w:p>
        </w:tc>
        <w:tc>
          <w:tcPr>
            <w:tcW w:w="6491" w:type="dxa"/>
          </w:tcPr>
          <w:p w:rsidR="00377176" w:rsidRDefault="00377176" w:rsidP="007551DE">
            <w:proofErr w:type="gramStart"/>
            <w:r>
              <w:t>A number of</w:t>
            </w:r>
            <w:proofErr w:type="gramEnd"/>
            <w:r>
              <w:t xml:space="preserve"> upgrade/embellishment works have been identified in the Plan of Management for Kensington Park (2016) which will support increased intensity of use by town centre residents/workers in the future.</w:t>
            </w:r>
          </w:p>
          <w:p w:rsidR="00377176" w:rsidRDefault="00377176" w:rsidP="007551DE"/>
        </w:tc>
        <w:tc>
          <w:tcPr>
            <w:tcW w:w="2045" w:type="dxa"/>
          </w:tcPr>
          <w:p w:rsidR="00377176" w:rsidRDefault="00377176" w:rsidP="007551DE">
            <w:r>
              <w:t>$1,600,000</w:t>
            </w:r>
          </w:p>
        </w:tc>
      </w:tr>
      <w:tr w:rsidR="00377176" w:rsidTr="00377176">
        <w:tc>
          <w:tcPr>
            <w:tcW w:w="2521" w:type="dxa"/>
          </w:tcPr>
          <w:p w:rsidR="00377176" w:rsidRDefault="00377176" w:rsidP="007551DE">
            <w:r>
              <w:t>Innovation Centres</w:t>
            </w:r>
          </w:p>
        </w:tc>
        <w:tc>
          <w:tcPr>
            <w:tcW w:w="3255" w:type="dxa"/>
          </w:tcPr>
          <w:p w:rsidR="00377176" w:rsidRDefault="00377176" w:rsidP="007551DE">
            <w:r>
              <w:t>No</w:t>
            </w:r>
          </w:p>
        </w:tc>
        <w:tc>
          <w:tcPr>
            <w:tcW w:w="6491" w:type="dxa"/>
          </w:tcPr>
          <w:p w:rsidR="00377176" w:rsidRDefault="00377176" w:rsidP="007551DE">
            <w:r>
              <w:t xml:space="preserve">No specific details </w:t>
            </w:r>
          </w:p>
        </w:tc>
        <w:tc>
          <w:tcPr>
            <w:tcW w:w="2045" w:type="dxa"/>
          </w:tcPr>
          <w:p w:rsidR="00377176" w:rsidRDefault="00377176" w:rsidP="007551DE">
            <w:r>
              <w:t>$1,500,000</w:t>
            </w:r>
          </w:p>
        </w:tc>
      </w:tr>
      <w:tr w:rsidR="00377176" w:rsidTr="00377176">
        <w:tc>
          <w:tcPr>
            <w:tcW w:w="2521" w:type="dxa"/>
          </w:tcPr>
          <w:p w:rsidR="00377176" w:rsidRDefault="00377176" w:rsidP="007551DE">
            <w:r>
              <w:t>Underground bicycle storage facility</w:t>
            </w:r>
          </w:p>
        </w:tc>
        <w:tc>
          <w:tcPr>
            <w:tcW w:w="3255" w:type="dxa"/>
          </w:tcPr>
          <w:p w:rsidR="00377176" w:rsidRDefault="00377176" w:rsidP="007551DE">
            <w:r>
              <w:t>Yes – land and facilities for transport</w:t>
            </w:r>
          </w:p>
          <w:p w:rsidR="00377176" w:rsidRDefault="00377176" w:rsidP="007551DE"/>
        </w:tc>
        <w:tc>
          <w:tcPr>
            <w:tcW w:w="6491" w:type="dxa"/>
          </w:tcPr>
          <w:p w:rsidR="00377176" w:rsidRDefault="00377176" w:rsidP="007551DE">
            <w:r>
              <w:t>Allocate funding to construct an underground bicycle parking station at Kingsford Junction</w:t>
            </w:r>
          </w:p>
          <w:p w:rsidR="00377176" w:rsidRDefault="00377176" w:rsidP="007551DE"/>
        </w:tc>
        <w:tc>
          <w:tcPr>
            <w:tcW w:w="2045" w:type="dxa"/>
          </w:tcPr>
          <w:p w:rsidR="00377176" w:rsidRDefault="00377176" w:rsidP="007551DE">
            <w:r>
              <w:t>$2,500,000</w:t>
            </w:r>
          </w:p>
        </w:tc>
      </w:tr>
      <w:tr w:rsidR="00377176" w:rsidTr="00377176">
        <w:tc>
          <w:tcPr>
            <w:tcW w:w="2521" w:type="dxa"/>
          </w:tcPr>
          <w:p w:rsidR="00377176" w:rsidRDefault="00377176" w:rsidP="007551DE">
            <w:r>
              <w:t>Cycle sharing facility</w:t>
            </w:r>
          </w:p>
        </w:tc>
        <w:tc>
          <w:tcPr>
            <w:tcW w:w="3255" w:type="dxa"/>
          </w:tcPr>
          <w:p w:rsidR="00377176" w:rsidRDefault="00377176" w:rsidP="007551DE">
            <w:r>
              <w:t>Yes – land and facilities for transport</w:t>
            </w:r>
          </w:p>
        </w:tc>
        <w:tc>
          <w:tcPr>
            <w:tcW w:w="6491" w:type="dxa"/>
          </w:tcPr>
          <w:p w:rsidR="00377176" w:rsidRDefault="00377176" w:rsidP="007551DE">
            <w:r>
              <w:t xml:space="preserve">Feasibility study being undertaken between City of Sydney, Inner West Council and Randwick City Council – feasibility study expected to be completed by the end of 2016. Funding will be allocated to bike share hubs within Kensington and Kingsford town centres to provide for bike share scheme  </w:t>
            </w:r>
          </w:p>
          <w:p w:rsidR="00377176" w:rsidRDefault="00377176" w:rsidP="007551DE"/>
          <w:p w:rsidR="00377176" w:rsidRDefault="00377176" w:rsidP="007551DE">
            <w:r>
              <w:lastRenderedPageBreak/>
              <w:t>Allocate funding to provide for bicycle share hubs within the town centres</w:t>
            </w:r>
          </w:p>
          <w:p w:rsidR="00377176" w:rsidRDefault="00377176" w:rsidP="007551DE"/>
        </w:tc>
        <w:tc>
          <w:tcPr>
            <w:tcW w:w="2045" w:type="dxa"/>
          </w:tcPr>
          <w:p w:rsidR="00377176" w:rsidRDefault="00377176" w:rsidP="007551DE">
            <w:r>
              <w:lastRenderedPageBreak/>
              <w:t>$300,000</w:t>
            </w:r>
          </w:p>
        </w:tc>
      </w:tr>
      <w:tr w:rsidR="00377176" w:rsidTr="00377176">
        <w:tc>
          <w:tcPr>
            <w:tcW w:w="2521" w:type="dxa"/>
          </w:tcPr>
          <w:p w:rsidR="00377176" w:rsidRDefault="00377176" w:rsidP="007551DE">
            <w:r>
              <w:t>Upgrades incorporating water sensitive Urban Design</w:t>
            </w:r>
          </w:p>
          <w:p w:rsidR="00377176" w:rsidRDefault="00377176" w:rsidP="007551DE"/>
        </w:tc>
        <w:tc>
          <w:tcPr>
            <w:tcW w:w="3255" w:type="dxa"/>
          </w:tcPr>
          <w:p w:rsidR="00377176" w:rsidRDefault="00377176" w:rsidP="007551DE">
            <w:r>
              <w:t>No</w:t>
            </w:r>
          </w:p>
        </w:tc>
        <w:tc>
          <w:tcPr>
            <w:tcW w:w="6491" w:type="dxa"/>
          </w:tcPr>
          <w:p w:rsidR="00377176" w:rsidRDefault="00377176" w:rsidP="007551DE">
            <w:r>
              <w:t xml:space="preserve">Prepare a strategy for water sensitive urban design throughout the town centres in conjunction with a landscape concept plan Short </w:t>
            </w:r>
            <w:proofErr w:type="gramStart"/>
            <w:r>
              <w:t>term</w:t>
            </w:r>
            <w:proofErr w:type="gramEnd"/>
            <w:r>
              <w:t xml:space="preserve"> Council </w:t>
            </w:r>
          </w:p>
          <w:p w:rsidR="00377176" w:rsidRDefault="00377176" w:rsidP="007551DE"/>
          <w:p w:rsidR="00377176" w:rsidRDefault="00377176" w:rsidP="007551DE">
            <w:r>
              <w:t>Implement two pilot water sensitive urban design projects in the town centres</w:t>
            </w:r>
          </w:p>
        </w:tc>
        <w:tc>
          <w:tcPr>
            <w:tcW w:w="2045" w:type="dxa"/>
          </w:tcPr>
          <w:p w:rsidR="00377176" w:rsidRDefault="00377176" w:rsidP="007551DE">
            <w:r>
              <w:t>$3,000,000</w:t>
            </w:r>
          </w:p>
        </w:tc>
      </w:tr>
      <w:tr w:rsidR="00377176" w:rsidTr="00377176">
        <w:tc>
          <w:tcPr>
            <w:tcW w:w="2521" w:type="dxa"/>
          </w:tcPr>
          <w:p w:rsidR="00377176" w:rsidRDefault="00377176" w:rsidP="007551DE">
            <w:r>
              <w:t>Pneumatic Waste Collection</w:t>
            </w:r>
          </w:p>
          <w:p w:rsidR="00377176" w:rsidRDefault="00377176" w:rsidP="007551DE"/>
        </w:tc>
        <w:tc>
          <w:tcPr>
            <w:tcW w:w="3255" w:type="dxa"/>
          </w:tcPr>
          <w:p w:rsidR="00377176" w:rsidRDefault="00377176" w:rsidP="007551DE">
            <w:r>
              <w:t>No</w:t>
            </w:r>
          </w:p>
        </w:tc>
        <w:tc>
          <w:tcPr>
            <w:tcW w:w="6491" w:type="dxa"/>
          </w:tcPr>
          <w:p w:rsidR="00377176" w:rsidRDefault="00377176" w:rsidP="007551DE">
            <w:r>
              <w:t>Undertake a concept design and feasibility study for an automated underground waste collection system within the town centres</w:t>
            </w:r>
          </w:p>
        </w:tc>
        <w:tc>
          <w:tcPr>
            <w:tcW w:w="2045" w:type="dxa"/>
          </w:tcPr>
          <w:p w:rsidR="00377176" w:rsidRDefault="00377176" w:rsidP="007551DE">
            <w:r>
              <w:t>$7,600,000</w:t>
            </w:r>
          </w:p>
        </w:tc>
      </w:tr>
      <w:tr w:rsidR="00377176" w:rsidRPr="00883A85" w:rsidTr="00377176">
        <w:tc>
          <w:tcPr>
            <w:tcW w:w="2521" w:type="dxa"/>
          </w:tcPr>
          <w:p w:rsidR="00377176" w:rsidRPr="00883A85" w:rsidRDefault="00377176" w:rsidP="007551DE">
            <w:pPr>
              <w:rPr>
                <w:b/>
              </w:rPr>
            </w:pPr>
          </w:p>
        </w:tc>
        <w:tc>
          <w:tcPr>
            <w:tcW w:w="3255" w:type="dxa"/>
          </w:tcPr>
          <w:p w:rsidR="00377176" w:rsidRPr="00883A85" w:rsidRDefault="00377176" w:rsidP="007551DE">
            <w:pPr>
              <w:rPr>
                <w:b/>
              </w:rPr>
            </w:pPr>
          </w:p>
        </w:tc>
        <w:tc>
          <w:tcPr>
            <w:tcW w:w="6491" w:type="dxa"/>
          </w:tcPr>
          <w:p w:rsidR="00377176" w:rsidRPr="00883A85" w:rsidRDefault="00377176" w:rsidP="007551DE">
            <w:pPr>
              <w:rPr>
                <w:b/>
              </w:rPr>
            </w:pPr>
          </w:p>
        </w:tc>
        <w:tc>
          <w:tcPr>
            <w:tcW w:w="2045" w:type="dxa"/>
          </w:tcPr>
          <w:p w:rsidR="00377176" w:rsidRPr="00883A85" w:rsidRDefault="00377176" w:rsidP="007551DE">
            <w:pPr>
              <w:rPr>
                <w:b/>
              </w:rPr>
            </w:pPr>
            <w:r w:rsidRPr="00883A85">
              <w:rPr>
                <w:b/>
              </w:rPr>
              <w:t>$18,700,000</w:t>
            </w:r>
          </w:p>
        </w:tc>
      </w:tr>
    </w:tbl>
    <w:p w:rsidR="006C6518" w:rsidRDefault="006C6518">
      <w:bookmarkStart w:id="0" w:name="_GoBack"/>
      <w:bookmarkEnd w:id="0"/>
    </w:p>
    <w:sectPr w:rsidR="006C6518" w:rsidSect="003771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33F6D"/>
    <w:multiLevelType w:val="hybridMultilevel"/>
    <w:tmpl w:val="881C2B10"/>
    <w:lvl w:ilvl="0" w:tplc="DAEC4F2A">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94"/>
    <w:rsid w:val="00377176"/>
    <w:rsid w:val="006C6518"/>
    <w:rsid w:val="007F4394"/>
    <w:rsid w:val="00AF0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BE7A"/>
  <w15:chartTrackingRefBased/>
  <w15:docId w15:val="{91EF2C67-B431-4610-A354-75ED0891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176"/>
    <w:pPr>
      <w:spacing w:line="256" w:lineRule="auto"/>
      <w:ind w:left="720"/>
      <w:contextualSpacing/>
    </w:pPr>
  </w:style>
  <w:style w:type="table" w:styleId="TableGrid">
    <w:name w:val="Table Grid"/>
    <w:basedOn w:val="TableNormal"/>
    <w:uiPriority w:val="39"/>
    <w:rsid w:val="0037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5CD82-104F-4DFD-B803-CF7D42CE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34B2D3A4.dotm</Template>
  <TotalTime>1</TotalTime>
  <Pages>3</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Cunningham</dc:creator>
  <cp:keywords/>
  <dc:description/>
  <cp:lastModifiedBy>Douglas Cunningham</cp:lastModifiedBy>
  <cp:revision>2</cp:revision>
  <dcterms:created xsi:type="dcterms:W3CDTF">2018-07-18T03:46:00Z</dcterms:created>
  <dcterms:modified xsi:type="dcterms:W3CDTF">2018-07-18T03:48:00Z</dcterms:modified>
</cp:coreProperties>
</file>